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D5D1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460485">
        <w:rPr>
          <w:color w:val="000000"/>
        </w:rPr>
        <w:t>COMUNE DI BASELICE</w:t>
      </w:r>
    </w:p>
    <w:p w:rsidR="00B55AD9" w:rsidRDefault="00B55AD9" w:rsidP="00502945">
      <w:pPr>
        <w:tabs>
          <w:tab w:val="left" w:leader="underscore" w:pos="9923"/>
        </w:tabs>
        <w:autoSpaceDE w:val="0"/>
        <w:autoSpaceDN w:val="0"/>
        <w:adjustRightInd w:val="0"/>
        <w:rPr>
          <w:color w:val="000000"/>
        </w:rPr>
      </w:pPr>
      <w:r w:rsidRPr="00A970F6">
        <w:rPr>
          <w:color w:val="000000"/>
        </w:rPr>
        <w:t>per il seguente progetto:</w:t>
      </w:r>
      <w:r w:rsidR="00D714AC">
        <w:rPr>
          <w:color w:val="000000"/>
        </w:rPr>
        <w:t xml:space="preserve"> </w:t>
      </w:r>
      <w:r w:rsidR="009D3E14" w:rsidRPr="009D3E14">
        <w:rPr>
          <w:color w:val="000000"/>
        </w:rPr>
        <w:t>DON'T SHAKE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3D5D1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14" w:rsidRDefault="00982C14" w:rsidP="00755207">
      <w:r>
        <w:separator/>
      </w:r>
    </w:p>
  </w:endnote>
  <w:endnote w:type="continuationSeparator" w:id="0">
    <w:p w:rsidR="00982C14" w:rsidRDefault="00982C14"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14" w:rsidRDefault="00982C14" w:rsidP="00755207">
      <w:r>
        <w:separator/>
      </w:r>
    </w:p>
  </w:footnote>
  <w:footnote w:type="continuationSeparator" w:id="0">
    <w:p w:rsidR="00982C14" w:rsidRDefault="00982C14" w:rsidP="00755207">
      <w:r>
        <w:continuationSeparator/>
      </w:r>
    </w:p>
  </w:footnote>
  <w:footnote w:id="1">
    <w:p w:rsidR="00982C14" w:rsidRDefault="00982C14">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982C14" w:rsidRDefault="00982C14"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982C14" w:rsidRDefault="00982C14">
      <w:pPr>
        <w:pStyle w:val="Testonotaapidipagina"/>
      </w:pPr>
      <w:r>
        <w:rPr>
          <w:rStyle w:val="Rimandonotaapidipagina"/>
        </w:rPr>
        <w:footnoteRef/>
      </w:r>
      <w:r w:rsidRPr="00FE3518">
        <w:t>Indicazione obbligatoria</w:t>
      </w:r>
    </w:p>
  </w:footnote>
  <w:footnote w:id="4">
    <w:p w:rsidR="00982C14" w:rsidRDefault="00982C14">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982C14" w:rsidRDefault="00982C14"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982C14" w:rsidRDefault="00982C14"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982C14" w:rsidRDefault="00982C14"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456CC"/>
    <w:rsid w:val="001657B6"/>
    <w:rsid w:val="00224C0C"/>
    <w:rsid w:val="00244576"/>
    <w:rsid w:val="002E140A"/>
    <w:rsid w:val="0031654C"/>
    <w:rsid w:val="00374220"/>
    <w:rsid w:val="0039413F"/>
    <w:rsid w:val="003D5D1F"/>
    <w:rsid w:val="00404586"/>
    <w:rsid w:val="00415C96"/>
    <w:rsid w:val="00460485"/>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74F3D"/>
    <w:rsid w:val="008A2B6B"/>
    <w:rsid w:val="00937ABD"/>
    <w:rsid w:val="00974500"/>
    <w:rsid w:val="00982C14"/>
    <w:rsid w:val="00985920"/>
    <w:rsid w:val="009D3E14"/>
    <w:rsid w:val="00A02E09"/>
    <w:rsid w:val="00A3102B"/>
    <w:rsid w:val="00A33FD3"/>
    <w:rsid w:val="00AB2938"/>
    <w:rsid w:val="00AC4665"/>
    <w:rsid w:val="00AD0A4F"/>
    <w:rsid w:val="00AE2B6F"/>
    <w:rsid w:val="00B20065"/>
    <w:rsid w:val="00B34859"/>
    <w:rsid w:val="00B475BA"/>
    <w:rsid w:val="00B55AD9"/>
    <w:rsid w:val="00B87F6E"/>
    <w:rsid w:val="00BA2BC3"/>
    <w:rsid w:val="00BC31CD"/>
    <w:rsid w:val="00BF0A5E"/>
    <w:rsid w:val="00C10873"/>
    <w:rsid w:val="00C13A33"/>
    <w:rsid w:val="00C15061"/>
    <w:rsid w:val="00C17C08"/>
    <w:rsid w:val="00C71E82"/>
    <w:rsid w:val="00CB24DC"/>
    <w:rsid w:val="00CC361A"/>
    <w:rsid w:val="00D32E26"/>
    <w:rsid w:val="00D609AE"/>
    <w:rsid w:val="00D714AC"/>
    <w:rsid w:val="00D863E6"/>
    <w:rsid w:val="00D95EC7"/>
    <w:rsid w:val="00DB1814"/>
    <w:rsid w:val="00DB5248"/>
    <w:rsid w:val="00DC30D5"/>
    <w:rsid w:val="00E204B8"/>
    <w:rsid w:val="00E36446"/>
    <w:rsid w:val="00EB3AFC"/>
    <w:rsid w:val="00EC31D7"/>
    <w:rsid w:val="00EF5726"/>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02C31-83C5-4D6B-B343-B97AB46D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12108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2018-08-21T07:36:00Z</dcterms:created>
  <dcterms:modified xsi:type="dcterms:W3CDTF">2018-08-21T07:36:00Z</dcterms:modified>
</cp:coreProperties>
</file>